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681748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81748" w:rsidRPr="002D3F0D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681748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81748" w:rsidRPr="00C53FE2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Noveno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681748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681748" w:rsidRPr="00681748">
              <w:rPr>
                <w:rFonts w:ascii="Arial" w:hAnsi="Arial" w:cs="Arial"/>
                <w:color w:val="0F243E" w:themeColor="text2" w:themeShade="80"/>
              </w:rPr>
              <w:t>Derecho Laboral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681748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681748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681748" w:rsidRPr="00681748">
              <w:rPr>
                <w:rFonts w:ascii="Arial" w:hAnsi="Arial" w:cs="Arial"/>
                <w:color w:val="0F243E" w:themeColor="text2" w:themeShade="80"/>
              </w:rPr>
              <w:t>37501</w:t>
            </w:r>
          </w:p>
        </w:tc>
        <w:tc>
          <w:tcPr>
            <w:tcW w:w="4111" w:type="dxa"/>
          </w:tcPr>
          <w:p w:rsidR="009D3B04" w:rsidRPr="0086312B" w:rsidRDefault="009D3B04" w:rsidP="007D2DF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7D2DFD" w:rsidRPr="007D2DFD">
              <w:rPr>
                <w:rFonts w:ascii="Arial" w:hAnsi="Arial" w:cs="Arial"/>
                <w:color w:val="0F243E" w:themeColor="text2" w:themeShade="80"/>
              </w:rPr>
              <w:t>Tres</w:t>
            </w:r>
            <w:r w:rsidR="007D2DFD">
              <w:rPr>
                <w:rFonts w:ascii="Arial" w:hAnsi="Arial" w:cs="Arial"/>
                <w:color w:val="0F243E" w:themeColor="text2" w:themeShade="80"/>
              </w:rPr>
              <w:t xml:space="preserve"> (3)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C556C" w:rsidRDefault="007C55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7C556C">
              <w:rPr>
                <w:rFonts w:ascii="Arial" w:hAnsi="Arial" w:cs="Arial"/>
                <w:color w:val="0F243E" w:themeColor="text2" w:themeShade="80"/>
              </w:rPr>
              <w:t>31 enero 2015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 xml:space="preserve"> Cinco</w:t>
            </w:r>
          </w:p>
        </w:tc>
        <w:tc>
          <w:tcPr>
            <w:tcW w:w="2835" w:type="dxa"/>
          </w:tcPr>
          <w:p w:rsidR="009D3B04" w:rsidRPr="002D3F0D" w:rsidRDefault="009D3B04" w:rsidP="006817AD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 xml:space="preserve"> Veinte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>seis</w:t>
            </w:r>
          </w:p>
        </w:tc>
        <w:tc>
          <w:tcPr>
            <w:tcW w:w="3828" w:type="dxa"/>
          </w:tcPr>
          <w:p w:rsidR="009D3B04" w:rsidRPr="002D3F0D" w:rsidRDefault="009D3B04" w:rsidP="006817AD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>Ochenta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A73A7E">
              <w:rPr>
                <w:rFonts w:ascii="Arial" w:hAnsi="Arial" w:cs="Arial"/>
                <w:color w:val="0F243E" w:themeColor="text2" w:themeShade="80"/>
              </w:rPr>
              <w:t xml:space="preserve"> Dieciséis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A73A7E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RPr="0006734D" w:rsidTr="009D3B04">
        <w:tc>
          <w:tcPr>
            <w:tcW w:w="9054" w:type="dxa"/>
          </w:tcPr>
          <w:p w:rsidR="009D3B04" w:rsidRPr="0006734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FD0300" w:rsidRPr="00FD0300" w:rsidRDefault="00FD0300" w:rsidP="007A7FB6">
            <w:pPr>
              <w:spacing w:line="276" w:lineRule="auto"/>
              <w:jc w:val="both"/>
              <w:rPr>
                <w:rFonts w:ascii="Arial" w:eastAsiaTheme="minorHAnsi" w:hAnsi="Arial" w:cs="Arial"/>
                <w:lang w:val="es-CO" w:eastAsia="en-US"/>
              </w:rPr>
            </w:pPr>
            <w:r w:rsidRPr="00FD0300">
              <w:rPr>
                <w:rFonts w:ascii="Arial" w:eastAsiaTheme="minorHAnsi" w:hAnsi="Arial" w:cs="Arial"/>
              </w:rPr>
              <w:t xml:space="preserve">Hablar actualmente del derecho a obtener una pensión en Colombia, resulta  preocupante y a la vez encontrarse con uno de los graves problemas que enfrenta el país en donde la carencia de políticas claras y serias en ese sentido,  dan al traste con las expectativas que todo trabajador tiene al final de la cesación definitiva de su actividad laboral. </w:t>
            </w:r>
            <w:r w:rsidRPr="00FD0300">
              <w:rPr>
                <w:rFonts w:ascii="Arial" w:eastAsiaTheme="minorHAnsi" w:hAnsi="Arial" w:cs="Arial"/>
                <w:lang w:val="es-CO" w:eastAsia="en-US"/>
              </w:rPr>
              <w:t>Desde finales de los años cuarenta, en Colombia se ha venido experimentando, con legislación gaseosa en el tema  de seguridad social y muy en especial en lo atinente al aspecto pensional, al punto de sumir en incredulidad a la gran masa de trabajadores independientes que no se animan a cotizar si se entiende que este será un beneficio para el resto de sus días, luego de quedar cesantes.  A partir de 1993, se ha presentado profusa, innecesaria e ineficaz reforma legal y constitucional en materia pensional, que desde luego ha generado mucha inseguridad jurídica y no ha contribuido para atraer más cotizantes al sistema, sino por el contrario, alejarlos del mismo.</w:t>
            </w:r>
          </w:p>
          <w:p w:rsidR="00243C3A" w:rsidRDefault="00243C3A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</w:p>
          <w:p w:rsidR="00FD0300" w:rsidRPr="00FD0300" w:rsidRDefault="00FD0300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FD0300">
              <w:rPr>
                <w:rFonts w:ascii="Arial" w:hAnsi="Arial" w:cs="Arial"/>
              </w:rPr>
              <w:t xml:space="preserve">Conocer e interpretar el espíritu normativo de la  Ley 100 de 1993 (Sistema de Seguridad Social en Colombia) Leyes 797 y 860 de 2003, Acto legislativo de 2005 y Ley 1562 de 2012 (Régimen de los Riesgos Laborales en Colombia) todos los decretos reglamentarios y las últimas reformas efectuadas, en los años subsiguientes se convierte en una necesidad imperiosa que  todos los ciudadanos colombianos debemos hacer y particularmente los estudiantes de Derecho,  como futuros humanistas, protectores de derechos y garantías del trabajador, particularmente el Derecho a disfrutar de una pensión de jubilación.. </w:t>
            </w:r>
          </w:p>
          <w:p w:rsidR="00FD0300" w:rsidRPr="00FD0300" w:rsidRDefault="00FD0300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FD0300">
              <w:rPr>
                <w:rFonts w:ascii="Arial" w:hAnsi="Arial" w:cs="Arial"/>
              </w:rPr>
              <w:t xml:space="preserve">En el sistema de pensiones, después de promulgada la ley 100 de 1993, se viene jugando con el aumento de semanas de cotización y las edades respectivamente, al punto que para el presente año 2015, se alcanzara una pensión luego de haber cotizado 1300 semanas y los hombres tengan 62 años y la mujeres 57 años de edad, situación que demuestra inequidad y cada vez </w:t>
            </w:r>
            <w:proofErr w:type="spellStart"/>
            <w:r w:rsidRPr="00FD0300">
              <w:rPr>
                <w:rFonts w:ascii="Arial" w:hAnsi="Arial" w:cs="Arial"/>
              </w:rPr>
              <w:t>mas</w:t>
            </w:r>
            <w:proofErr w:type="spellEnd"/>
            <w:r w:rsidRPr="00FD0300">
              <w:rPr>
                <w:rFonts w:ascii="Arial" w:hAnsi="Arial" w:cs="Arial"/>
              </w:rPr>
              <w:t xml:space="preserve"> lejano el disfrute de una pensión de vejez.</w:t>
            </w:r>
          </w:p>
          <w:p w:rsidR="00FD0300" w:rsidRPr="00FD0300" w:rsidRDefault="00FD0300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FD0300">
              <w:rPr>
                <w:rFonts w:ascii="Arial" w:hAnsi="Arial" w:cs="Arial"/>
              </w:rPr>
              <w:t xml:space="preserve">Por los aspectos citados se justifica la profundización en materia pensional a través de una cátedra de Seguridad Social, dirigida a los estudiantes de Derecho que conlleve al conocimiento de situaciones reales, para que desde aquella se busque mejorar en  lo personal y profesional y no sea ajena la aplicación de principios éticos que de ninguna manera se desliguen del hombre y la mujer como </w:t>
            </w:r>
            <w:r w:rsidRPr="00FD0300">
              <w:rPr>
                <w:rFonts w:ascii="Arial" w:hAnsi="Arial" w:cs="Arial"/>
              </w:rPr>
              <w:lastRenderedPageBreak/>
              <w:t>seres sociales.</w:t>
            </w:r>
          </w:p>
          <w:p w:rsidR="009D3B04" w:rsidRPr="0006734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06734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06734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396ACF" w:rsidP="00716EB4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</w:rPr>
              <w:t>Estudiar e interpretar</w:t>
            </w:r>
            <w:r w:rsidRPr="00400FDC">
              <w:rPr>
                <w:rFonts w:ascii="Arial" w:hAnsi="Arial" w:cs="Arial"/>
              </w:rPr>
              <w:t xml:space="preserve"> la normatividad existente y las diversas </w:t>
            </w:r>
            <w:r>
              <w:rPr>
                <w:rFonts w:ascii="Arial" w:hAnsi="Arial" w:cs="Arial"/>
              </w:rPr>
              <w:t>modalidades del Sistema General de Pensiones</w:t>
            </w:r>
            <w:r w:rsidRPr="00400FDC">
              <w:rPr>
                <w:rFonts w:ascii="Arial" w:hAnsi="Arial" w:cs="Arial"/>
              </w:rPr>
              <w:t xml:space="preserve">, así como también las </w:t>
            </w:r>
            <w:r>
              <w:rPr>
                <w:rFonts w:ascii="Arial" w:hAnsi="Arial" w:cs="Arial"/>
              </w:rPr>
              <w:t xml:space="preserve">vicisitudes </w:t>
            </w:r>
            <w:r w:rsidRPr="00400FDC">
              <w:rPr>
                <w:rFonts w:ascii="Arial" w:hAnsi="Arial" w:cs="Arial"/>
              </w:rPr>
              <w:t>y las consecuenci</w:t>
            </w:r>
            <w:r>
              <w:rPr>
                <w:rFonts w:ascii="Arial" w:hAnsi="Arial" w:cs="Arial"/>
              </w:rPr>
              <w:t>as derivadas de los reiterados cambios normativos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AF082B" w:rsidP="00AF082B">
            <w:pPr>
              <w:jc w:val="both"/>
              <w:rPr>
                <w:rFonts w:ascii="Arial" w:hAnsi="Arial" w:cs="Arial"/>
              </w:rPr>
            </w:pPr>
            <w:r w:rsidRPr="00AF082B">
              <w:rPr>
                <w:rFonts w:ascii="Arial" w:hAnsi="Arial" w:cs="Arial"/>
              </w:rPr>
              <w:t xml:space="preserve">Preparar al futuro profesional, en su desempeño laboral, para que se  </w:t>
            </w:r>
            <w:r>
              <w:rPr>
                <w:rFonts w:ascii="Arial" w:hAnsi="Arial" w:cs="Arial"/>
              </w:rPr>
              <w:t>interese por el beneficio de cotizar desde edades tempranas al sistema pensional colombiano.</w:t>
            </w:r>
          </w:p>
          <w:p w:rsidR="00AF082B" w:rsidRDefault="00AF082B" w:rsidP="00AF082B">
            <w:pPr>
              <w:jc w:val="both"/>
              <w:rPr>
                <w:rFonts w:ascii="Arial" w:hAnsi="Arial" w:cs="Arial"/>
              </w:rPr>
            </w:pPr>
          </w:p>
          <w:p w:rsidR="00AF082B" w:rsidRPr="00AF082B" w:rsidRDefault="00AF082B" w:rsidP="00AF082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Concientizar al estudiante sobre las falencias que tiene el Sistema General de Pensiones y las repercusiones en el aspecto socio-económico del trabajador.</w:t>
            </w:r>
          </w:p>
          <w:p w:rsidR="009D3B04" w:rsidRDefault="009D3B04" w:rsidP="00AF082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FC10AD" w:rsidRDefault="00394808" w:rsidP="00FC10AD">
            <w:pPr>
              <w:jc w:val="both"/>
              <w:rPr>
                <w:rFonts w:ascii="Arial" w:hAnsi="Arial" w:cs="Arial"/>
              </w:rPr>
            </w:pPr>
            <w:r w:rsidRPr="00FC10AD">
              <w:rPr>
                <w:rFonts w:ascii="Arial" w:hAnsi="Arial" w:cs="Arial"/>
              </w:rPr>
              <w:t>¿Existe dificultad</w:t>
            </w:r>
            <w:r w:rsidR="00536475" w:rsidRPr="00FC10AD">
              <w:rPr>
                <w:rFonts w:ascii="Arial" w:hAnsi="Arial" w:cs="Arial"/>
              </w:rPr>
              <w:t xml:space="preserve"> conceptual y </w:t>
            </w:r>
            <w:r w:rsidR="00631163" w:rsidRPr="00FC10AD">
              <w:rPr>
                <w:rFonts w:ascii="Arial" w:hAnsi="Arial" w:cs="Arial"/>
              </w:rPr>
              <w:t>jurídica</w:t>
            </w:r>
            <w:r w:rsidR="00536475" w:rsidRPr="00FC10AD">
              <w:rPr>
                <w:rFonts w:ascii="Arial" w:hAnsi="Arial" w:cs="Arial"/>
              </w:rPr>
              <w:t xml:space="preserve"> para entender la situación real de las pensiones</w:t>
            </w:r>
            <w:r w:rsidRPr="00FC10AD">
              <w:rPr>
                <w:rFonts w:ascii="Arial" w:hAnsi="Arial" w:cs="Arial"/>
              </w:rPr>
              <w:t>?</w:t>
            </w:r>
          </w:p>
          <w:p w:rsidR="00394808" w:rsidRPr="00FC10AD" w:rsidRDefault="00394808" w:rsidP="00FC10AD">
            <w:pPr>
              <w:jc w:val="both"/>
              <w:rPr>
                <w:rFonts w:ascii="Arial" w:hAnsi="Arial" w:cs="Arial"/>
              </w:rPr>
            </w:pPr>
            <w:r w:rsidRPr="00FC10AD">
              <w:rPr>
                <w:rFonts w:ascii="Arial" w:hAnsi="Arial" w:cs="Arial"/>
              </w:rPr>
              <w:t>¿Por qué el gobierno colombiano crea trabas para pensionar a los trabajadores?</w:t>
            </w:r>
          </w:p>
          <w:p w:rsidR="00394808" w:rsidRPr="00FC10AD" w:rsidRDefault="00394808" w:rsidP="00FC10AD">
            <w:pPr>
              <w:jc w:val="both"/>
              <w:rPr>
                <w:rFonts w:ascii="Arial" w:hAnsi="Arial" w:cs="Arial"/>
              </w:rPr>
            </w:pPr>
            <w:r w:rsidRPr="00FC10AD">
              <w:rPr>
                <w:rFonts w:ascii="Arial" w:hAnsi="Arial" w:cs="Arial"/>
              </w:rPr>
              <w:t xml:space="preserve">¿Resulta fácil pensionarse actualmente en Colombia? </w:t>
            </w:r>
          </w:p>
          <w:p w:rsidR="009D3B04" w:rsidRDefault="00631163" w:rsidP="00FC10AD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C10AD">
              <w:rPr>
                <w:rFonts w:ascii="Arial" w:hAnsi="Arial" w:cs="Arial"/>
              </w:rPr>
              <w:t>Realización de ejercicios de liquidación de pensiones</w:t>
            </w:r>
            <w:r w:rsidR="00407211" w:rsidRPr="00FC10AD">
              <w:rPr>
                <w:rFonts w:ascii="Arial" w:hAnsi="Arial" w:cs="Arial"/>
              </w:rPr>
              <w:t xml:space="preserve"> para comprender mejor la crisis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8627BA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</w:p>
          <w:p w:rsidR="008627BA" w:rsidRDefault="008627BA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8627BA" w:rsidRPr="008627BA" w:rsidRDefault="009D3B04" w:rsidP="008627BA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.</w:t>
            </w:r>
            <w:r w:rsidR="008627BA" w:rsidRPr="008627BA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Intelectuales</w:t>
            </w:r>
            <w:r w:rsidR="008627BA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  <w:r w:rsidR="008627BA" w:rsidRPr="008627B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En el desarrollo de cada una de las actividades planteadas, tanto individuales y grupales, el estudiante demostrará su creatividad, habilidad y destreza para confrontar y socializar los temas asignados.</w:t>
            </w:r>
          </w:p>
          <w:p w:rsidR="009D3B04" w:rsidRDefault="008627BA" w:rsidP="008627BA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8627B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estará en capacidad de analizar, comprender y proponer estrategias de aplicación para su</w:t>
            </w:r>
          </w:p>
          <w:p w:rsidR="002C3D8F" w:rsidRDefault="00B62C3F" w:rsidP="002C3D8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B62C3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Comunicativas</w:t>
            </w:r>
            <w:r w:rsidR="002C3D8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: E</w:t>
            </w:r>
            <w:r w:rsidRPr="00B62C3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l estudiante estará en la capacidad de expresar sus diferentes puntos de vista relacionados con las distintas temáticas del Derecho Laboral que se aborden en clase.</w:t>
            </w:r>
          </w:p>
          <w:p w:rsidR="00B62C3F" w:rsidRPr="00B62C3F" w:rsidRDefault="00B62C3F" w:rsidP="002C3D8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B62C3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lastRenderedPageBreak/>
              <w:t>Que el estudiante aborde un discurso coherente y bien elaborado que responda a las exigencias actuales de la sociedad.</w:t>
            </w:r>
          </w:p>
          <w:p w:rsidR="001904DF" w:rsidRDefault="009D3B04" w:rsidP="00CC21F3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</w:p>
          <w:p w:rsidR="001904DF" w:rsidRDefault="001904DF" w:rsidP="001904D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1904D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Personales:</w:t>
            </w:r>
            <w:r w:rsidR="003D26AA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  <w:r w:rsidRPr="001904D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enmarcará su proyecto de vida apoyado en la toma de decisiones, basándose en el pensamiento de vida.</w:t>
            </w:r>
            <w:r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1904DF" w:rsidRPr="001904DF" w:rsidRDefault="001904DF" w:rsidP="001904D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1904D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demostrará una gran capacidad de adaptación al cambio y su inteligencia emocional para resolver problemas relacionados con su disciplina académica.</w:t>
            </w:r>
          </w:p>
          <w:p w:rsidR="002C3D8F" w:rsidRDefault="009D3B04" w:rsidP="002C3D8F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</w:p>
          <w:p w:rsidR="00017C24" w:rsidRDefault="00017C24" w:rsidP="002C3D8F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017C24" w:rsidRDefault="00017C24" w:rsidP="00017C24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017C24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Argumentativas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 xml:space="preserve">: </w:t>
            </w:r>
            <w:r w:rsidRPr="00017C24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estará en  la capacidad de establecer juicios de carácter social, económico, político y cultural entre otros, generando un liderazgo evidente en la sociedad.</w:t>
            </w:r>
            <w:r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017C24" w:rsidRPr="00017C24" w:rsidRDefault="00017C24" w:rsidP="00017C24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017C24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estará en la capacidad de leer y analizar críticamente la problemática de la situación laboral y los retos a los que tendrá que enfrentarse en un futuro cercano.</w:t>
            </w:r>
          </w:p>
          <w:p w:rsidR="009D3B04" w:rsidRDefault="002C3D8F" w:rsidP="002C3D8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C3D8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Investigativas</w:t>
            </w:r>
            <w:r w:rsidRPr="002C3D8F">
              <w:rPr>
                <w:rFonts w:ascii="Arial" w:eastAsiaTheme="minorHAnsi" w:hAnsi="Arial" w:cs="Arial"/>
                <w:i/>
                <w:sz w:val="22"/>
                <w:szCs w:val="22"/>
                <w:lang w:val="es-CO" w:eastAsia="en-US"/>
              </w:rPr>
              <w:t>:</w:t>
            </w:r>
            <w:r w:rsidRPr="002C3D8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El Derecho es una ciencia que debe investigarse día a día, para lograr entender las complejidades que se presentan en las relaciones contractuales laborales </w:t>
            </w:r>
            <w:r w:rsidR="0008130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entre empresarios y trabajadores</w:t>
            </w:r>
            <w:proofErr w:type="gramStart"/>
            <w:r w:rsidR="0008130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.</w:t>
            </w:r>
            <w:r w:rsidR="009D3B04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proofErr w:type="gramEnd"/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7A7FB6" w:rsidRDefault="00792EFC" w:rsidP="00CC21F3">
            <w:pPr>
              <w:rPr>
                <w:rFonts w:ascii="Arial" w:hAnsi="Arial" w:cs="Arial"/>
              </w:rPr>
            </w:pPr>
            <w:r w:rsidRPr="007A7FB6">
              <w:rPr>
                <w:rFonts w:ascii="Arial" w:hAnsi="Arial" w:cs="Arial"/>
              </w:rPr>
              <w:t>Derechos Humanos; seguridad social; Derecho Laboral; Sociología Jurídica.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Pr="00EB1DA1" w:rsidRDefault="008A7BA4" w:rsidP="005307D9">
            <w:pPr>
              <w:rPr>
                <w:rFonts w:ascii="Arial" w:hAnsi="Arial" w:cs="Arial"/>
              </w:rPr>
            </w:pPr>
            <w:r w:rsidRPr="00EB1DA1">
              <w:rPr>
                <w:rFonts w:ascii="Arial" w:hAnsi="Arial" w:cs="Arial"/>
              </w:rPr>
              <w:t xml:space="preserve">Convenios </w:t>
            </w:r>
            <w:r w:rsidR="007E5C4B">
              <w:rPr>
                <w:rFonts w:ascii="Arial" w:hAnsi="Arial" w:cs="Arial"/>
              </w:rPr>
              <w:t>O</w:t>
            </w:r>
            <w:r w:rsidRPr="00EB1DA1">
              <w:rPr>
                <w:rFonts w:ascii="Arial" w:hAnsi="Arial" w:cs="Arial"/>
              </w:rPr>
              <w:t>IT-Nuevos criterios Constitucionales En Sistema de Pensiones</w:t>
            </w:r>
          </w:p>
          <w:p w:rsidR="008A7BA4" w:rsidRPr="00EB1DA1" w:rsidRDefault="008A7BA4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307D9" w:rsidRDefault="008A7BA4" w:rsidP="005307D9">
            <w:pPr>
              <w:rPr>
                <w:rFonts w:ascii="Arial" w:hAnsi="Arial" w:cs="Arial"/>
              </w:rPr>
            </w:pPr>
            <w:r w:rsidRPr="00EB1DA1">
              <w:rPr>
                <w:rFonts w:ascii="Arial" w:hAnsi="Arial" w:cs="Arial"/>
              </w:rPr>
              <w:t>Garantías del Estado al sistema pensional-Situación de pensiones extralegales- Reglas generales sobre el derecho a pensión</w:t>
            </w:r>
          </w:p>
          <w:p w:rsidR="00EB1DA1" w:rsidRDefault="00EB1DA1" w:rsidP="005307D9">
            <w:pPr>
              <w:rPr>
                <w:rFonts w:ascii="Arial" w:hAnsi="Arial" w:cs="Arial"/>
              </w:rPr>
            </w:pPr>
          </w:p>
          <w:p w:rsidR="00EB1DA1" w:rsidRPr="000171E6" w:rsidRDefault="005540E7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Introducción normativa al Sistema General de Pensiones</w:t>
            </w:r>
          </w:p>
          <w:p w:rsidR="005540E7" w:rsidRPr="000171E6" w:rsidRDefault="005540E7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Regímenes especiales-Tendencias unificadoras de los regímenes pensionales especiales.</w:t>
            </w:r>
          </w:p>
          <w:p w:rsidR="005540E7" w:rsidRPr="000171E6" w:rsidRDefault="005540E7" w:rsidP="005307D9">
            <w:pPr>
              <w:rPr>
                <w:rFonts w:ascii="Arial" w:hAnsi="Arial" w:cs="Arial"/>
              </w:rPr>
            </w:pPr>
          </w:p>
          <w:p w:rsidR="005540E7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Afiliación al Sistema General de Pensiones</w:t>
            </w: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Cotizaciones. Montos y base de cotización</w:t>
            </w: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vejez en el Régimen de Prima Media.</w:t>
            </w: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Requisitos, pensiones con requisitos especiales, monto de la pensión.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Régimen de transición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Derechos adquiridos- Desmonte del Régimen de Transición</w:t>
            </w:r>
          </w:p>
          <w:p w:rsidR="001048CE" w:rsidRPr="000171E6" w:rsidRDefault="001048CE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Invalidez por Riesgo común en RPM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Requisitos para obtener la pensión de Invalidez-Monto de la pensión de invalidez-Pensión de sobrevivientes-Beneficiarios.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</w:p>
          <w:p w:rsidR="001048CE" w:rsidRPr="000171E6" w:rsidRDefault="001048CE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0171E6">
              <w:rPr>
                <w:rFonts w:ascii="Arial" w:hAnsi="Arial" w:cs="Arial"/>
              </w:rPr>
              <w:t>El estado de invalidez y su determinación-Cuantía de la pensión.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Revisión de la pensión de invalidez-Procedimientos ante las Juntas de Calificación- Incompatibilidades de la pensión de invalidez.</w:t>
            </w:r>
          </w:p>
          <w:p w:rsidR="001048CE" w:rsidRPr="000171E6" w:rsidRDefault="001048CE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F7042E" w:rsidRPr="000171E6" w:rsidRDefault="00F7042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Los servidores públicos y las pensiones en la Ley 100 de 1993</w:t>
            </w:r>
          </w:p>
          <w:p w:rsidR="00F7042E" w:rsidRPr="000171E6" w:rsidRDefault="00F7042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 xml:space="preserve">Las Cajas de Previsión en la Ley 100-Decisiones normativas sobre pensiones en el sector </w:t>
            </w:r>
            <w:r w:rsidR="00834938" w:rsidRPr="000171E6">
              <w:rPr>
                <w:rFonts w:ascii="Arial" w:hAnsi="Arial" w:cs="Arial"/>
              </w:rPr>
              <w:t>público</w:t>
            </w:r>
            <w:r w:rsidRPr="000171E6">
              <w:rPr>
                <w:rFonts w:ascii="Arial" w:hAnsi="Arial" w:cs="Arial"/>
              </w:rPr>
              <w:t xml:space="preserve"> nacional- La legislación de los FONPET en el marco de la ley 100/93</w:t>
            </w:r>
          </w:p>
          <w:p w:rsidR="00F7042E" w:rsidRPr="000171E6" w:rsidRDefault="00F7042E" w:rsidP="005307D9">
            <w:pPr>
              <w:rPr>
                <w:rFonts w:ascii="Arial" w:hAnsi="Arial" w:cs="Arial"/>
              </w:rPr>
            </w:pPr>
          </w:p>
          <w:p w:rsidR="00365280" w:rsidRPr="000171E6" w:rsidRDefault="0036528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El Sistema General de Pensiones en el Régimen de Ahorro Individual</w:t>
            </w:r>
          </w:p>
          <w:p w:rsidR="00365280" w:rsidRPr="000171E6" w:rsidRDefault="0036528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Características -Pensión de vejez- Devolución de saldos.</w:t>
            </w:r>
          </w:p>
          <w:p w:rsidR="00365280" w:rsidRPr="000171E6" w:rsidRDefault="00365280" w:rsidP="005307D9">
            <w:pPr>
              <w:rPr>
                <w:rFonts w:ascii="Arial" w:hAnsi="Arial" w:cs="Arial"/>
              </w:rPr>
            </w:pPr>
          </w:p>
          <w:p w:rsidR="00365280" w:rsidRPr="000171E6" w:rsidRDefault="000422E2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invalidez por riesgo común RAI</w:t>
            </w:r>
          </w:p>
          <w:p w:rsidR="000422E2" w:rsidRPr="000171E6" w:rsidRDefault="000422E2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sobrevivientes- Devolución de saldos</w:t>
            </w:r>
          </w:p>
          <w:p w:rsidR="00E051FC" w:rsidRPr="000171E6" w:rsidRDefault="00E051FC" w:rsidP="005307D9">
            <w:pPr>
              <w:rPr>
                <w:rFonts w:ascii="Arial" w:hAnsi="Arial" w:cs="Arial"/>
              </w:rPr>
            </w:pPr>
          </w:p>
          <w:p w:rsidR="00E051FC" w:rsidRPr="000171E6" w:rsidRDefault="00E051F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Modalidades de pensión RAI</w:t>
            </w:r>
          </w:p>
          <w:p w:rsidR="00A22871" w:rsidRPr="000171E6" w:rsidRDefault="00A22871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Características generales de las pensio0nes mínimas- Prestaciones y beneficios adicionales- Administración del RAI</w:t>
            </w:r>
          </w:p>
          <w:p w:rsidR="00BF5ACC" w:rsidRPr="000171E6" w:rsidRDefault="00BF5ACC" w:rsidP="005307D9">
            <w:pPr>
              <w:rPr>
                <w:rFonts w:ascii="Arial" w:hAnsi="Arial" w:cs="Arial"/>
              </w:rPr>
            </w:pPr>
          </w:p>
          <w:p w:rsidR="00BF5ACC" w:rsidRPr="000171E6" w:rsidRDefault="00BF5AC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Familiar</w:t>
            </w:r>
          </w:p>
          <w:p w:rsidR="00BF5ACC" w:rsidRPr="000171E6" w:rsidRDefault="00BF5AC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Características, requisitos, montos- Pensión Familiar y Divorcio.</w:t>
            </w:r>
          </w:p>
          <w:p w:rsidR="000E7E34" w:rsidRPr="000171E6" w:rsidRDefault="000E7E34" w:rsidP="005307D9">
            <w:pPr>
              <w:rPr>
                <w:rFonts w:ascii="Arial" w:hAnsi="Arial" w:cs="Arial"/>
              </w:rPr>
            </w:pPr>
          </w:p>
          <w:p w:rsidR="000E7E34" w:rsidRPr="000171E6" w:rsidRDefault="000E7E34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 de Invalidez por Riegos Laborales.</w:t>
            </w:r>
          </w:p>
          <w:p w:rsidR="000E7E34" w:rsidRPr="000171E6" w:rsidRDefault="000E7E34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Invalidez- Pensión de sobrevivientes. Juntas administradoras</w:t>
            </w:r>
          </w:p>
          <w:p w:rsidR="00F426AD" w:rsidRPr="000171E6" w:rsidRDefault="00F426AD" w:rsidP="005307D9">
            <w:pPr>
              <w:rPr>
                <w:rFonts w:ascii="Arial" w:hAnsi="Arial" w:cs="Arial"/>
              </w:rPr>
            </w:pPr>
          </w:p>
          <w:p w:rsidR="00F426AD" w:rsidRPr="000171E6" w:rsidRDefault="00F426AD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Régimen especiales vigentes: Presidencia de la Republicas y las FF.MM y otros</w:t>
            </w:r>
          </w:p>
          <w:p w:rsidR="00F426AD" w:rsidRPr="000171E6" w:rsidRDefault="00F426AD" w:rsidP="005307D9">
            <w:pPr>
              <w:rPr>
                <w:rFonts w:ascii="Arial" w:hAnsi="Arial" w:cs="Arial"/>
              </w:rPr>
            </w:pPr>
          </w:p>
          <w:p w:rsidR="00F426AD" w:rsidRPr="000171E6" w:rsidRDefault="009F165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Principios de igualdad y Universalidad-Topes máximos de pensiones</w:t>
            </w:r>
          </w:p>
          <w:p w:rsidR="004F521A" w:rsidRPr="000171E6" w:rsidRDefault="004F521A" w:rsidP="005307D9">
            <w:pPr>
              <w:rPr>
                <w:rFonts w:ascii="Arial" w:hAnsi="Arial" w:cs="Arial"/>
              </w:rPr>
            </w:pPr>
          </w:p>
          <w:p w:rsidR="004F521A" w:rsidRPr="000171E6" w:rsidRDefault="004F521A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Traslados entre Regímenes: bonos pensionales</w:t>
            </w:r>
          </w:p>
          <w:p w:rsidR="004F521A" w:rsidRDefault="004F521A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0171E6">
              <w:rPr>
                <w:rFonts w:ascii="Arial" w:hAnsi="Arial" w:cs="Arial"/>
              </w:rPr>
              <w:t>Oportunidad, efectos.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lastRenderedPageBreak/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866443" w:rsidP="00E525E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Teoría del Derecho Pensional;  La dignidad Humana; La libertad de contratación laboral; 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Pr="00A65130" w:rsidRDefault="00A65130" w:rsidP="00CC21F3">
            <w:pPr>
              <w:rPr>
                <w:rFonts w:ascii="Arial" w:hAnsi="Arial" w:cs="Arial"/>
              </w:rPr>
            </w:pPr>
            <w:r w:rsidRPr="00A65130">
              <w:rPr>
                <w:rFonts w:ascii="Arial" w:hAnsi="Arial" w:cs="Arial"/>
              </w:rPr>
              <w:t>Orientación y explicación magistral del docente</w:t>
            </w:r>
          </w:p>
          <w:p w:rsidR="00A65130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Uso e interpretación normativa del Estatuto de Pensiones</w:t>
            </w:r>
            <w:r w:rsidR="00447FA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47FAD" w:rsidRDefault="00447FAD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Mesa redonda.</w:t>
            </w:r>
          </w:p>
          <w:p w:rsidR="00447FAD" w:rsidRPr="00A65130" w:rsidRDefault="00447FAD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Debates.</w:t>
            </w:r>
          </w:p>
          <w:p w:rsidR="00A65130" w:rsidRDefault="00A65130" w:rsidP="00447FAD">
            <w:pPr>
              <w:pStyle w:val="Sinespaciado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A6513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Heteroevalucion y </w:t>
            </w:r>
            <w:r w:rsidR="00960044">
              <w:rPr>
                <w:rFonts w:ascii="Arial" w:hAnsi="Arial" w:cs="Arial"/>
                <w:color w:val="0F243E" w:themeColor="text2" w:themeShade="80"/>
              </w:rPr>
              <w:t>autoevaluación</w:t>
            </w:r>
            <w:r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A65130" w:rsidRPr="00A65130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Presentación de trabajos por GCT (Grupos Colaborativos de Trabajo)</w:t>
            </w:r>
          </w:p>
          <w:p w:rsidR="00A65130" w:rsidRPr="00A65130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Lecturas de interés y presentación de informes.</w:t>
            </w:r>
          </w:p>
          <w:p w:rsidR="009D3B04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Desarrollo de casos hipotéticos.</w:t>
            </w:r>
          </w:p>
          <w:p w:rsidR="00960044" w:rsidRDefault="00960044" w:rsidP="00A65130">
            <w:pPr>
              <w:pStyle w:val="Sinespaciado"/>
              <w:rPr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243C3A" w:rsidRDefault="00243C3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>ARENAS MONSALVE, Gerardo. (2007) El  Derecho Colombiano de la Seguridad Social Edit. Legis Bogotá.</w:t>
            </w:r>
          </w:p>
          <w:p w:rsid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CORTES HERNANDEZ, Juan Carlos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2012).Régimen de los Riesgos laborales en Colombia. Edit. Legis, primera edición. Bogotá.</w:t>
            </w:r>
          </w:p>
          <w:p w:rsidR="00433081" w:rsidRPr="00243C3A" w:rsidRDefault="00433081" w:rsidP="00433081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>CÓDIGO SUSTANTIVO DEL TRABAJO. (2012) BOGOTÁ.</w:t>
            </w:r>
            <w:r>
              <w:rPr>
                <w:rFonts w:ascii="Arial" w:hAnsi="Arial" w:cs="Arial"/>
                <w:sz w:val="22"/>
                <w:szCs w:val="22"/>
              </w:rPr>
              <w:t xml:space="preserve"> Edit. Legis</w:t>
            </w:r>
          </w:p>
          <w:p w:rsidR="00243C3A" w:rsidRPr="00243C3A" w:rsidRDefault="00243C3A" w:rsidP="00243C3A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>LOPEZ CAMARGO, Enrique. (2014)  La Flexibilidad laboral de la ley 789 de 2002 frene a los fines del Estado Social y Democrático de derecho en Colombia. Usta, Revista “Principia Iuris”</w:t>
            </w:r>
          </w:p>
          <w:p w:rsidR="00243C3A" w:rsidRP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 xml:space="preserve">PEREZ GARCIA, Miguel. (2012) Contratación  laboral, intermediación y servicios. Edit. Legis. Bogotá. </w:t>
            </w:r>
          </w:p>
          <w:p w:rsidR="00243C3A" w:rsidRP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 xml:space="preserve">PLAZAS M. Germán Alonso. (2004) La Nueva Práctica Laboral, </w:t>
            </w:r>
            <w:proofErr w:type="spellStart"/>
            <w:r w:rsidR="00433081">
              <w:rPr>
                <w:rFonts w:ascii="Arial" w:hAnsi="Arial" w:cs="Arial"/>
                <w:sz w:val="22"/>
                <w:szCs w:val="22"/>
              </w:rPr>
              <w:t>decima</w:t>
            </w:r>
            <w:proofErr w:type="spellEnd"/>
            <w:r w:rsidRPr="00243C3A">
              <w:rPr>
                <w:rFonts w:ascii="Arial" w:hAnsi="Arial" w:cs="Arial"/>
                <w:sz w:val="22"/>
                <w:szCs w:val="22"/>
              </w:rPr>
              <w:t xml:space="preserve"> edición.</w:t>
            </w:r>
            <w:r w:rsidR="00433081">
              <w:rPr>
                <w:rFonts w:ascii="Arial" w:hAnsi="Arial" w:cs="Arial"/>
                <w:sz w:val="22"/>
                <w:szCs w:val="22"/>
              </w:rPr>
              <w:t xml:space="preserve"> Edit. Leyer,</w:t>
            </w:r>
            <w:r w:rsidRPr="00243C3A">
              <w:rPr>
                <w:rFonts w:ascii="Arial" w:hAnsi="Arial" w:cs="Arial"/>
                <w:sz w:val="22"/>
                <w:szCs w:val="22"/>
              </w:rPr>
              <w:t xml:space="preserve"> Bogotá.</w:t>
            </w:r>
          </w:p>
          <w:p w:rsidR="00243C3A" w:rsidRPr="00243C3A" w:rsidRDefault="00433081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>CÓDIGO SUSTANTIVO DEL TRABAJO</w:t>
            </w:r>
            <w:r w:rsidR="00243C3A" w:rsidRPr="00243C3A">
              <w:rPr>
                <w:rFonts w:ascii="Arial" w:hAnsi="Arial" w:cs="Arial"/>
                <w:sz w:val="22"/>
                <w:szCs w:val="22"/>
              </w:rPr>
              <w:t>. (2012) Bogotá.</w:t>
            </w:r>
          </w:p>
          <w:p w:rsidR="00243C3A" w:rsidRP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lastRenderedPageBreak/>
              <w:t xml:space="preserve"> </w:t>
            </w:r>
            <w:r w:rsidR="00433081">
              <w:rPr>
                <w:rFonts w:ascii="Arial" w:hAnsi="Arial" w:cs="Arial"/>
                <w:sz w:val="22"/>
                <w:szCs w:val="22"/>
              </w:rPr>
              <w:t>ESCUDERO ALZATE, María Cristina (2010).</w:t>
            </w:r>
            <w:r w:rsidRPr="00243C3A">
              <w:rPr>
                <w:rFonts w:ascii="Arial" w:hAnsi="Arial" w:cs="Arial"/>
                <w:sz w:val="22"/>
                <w:szCs w:val="22"/>
              </w:rPr>
              <w:t>Practica General del Derecho. . Bogotá</w:t>
            </w:r>
            <w:r w:rsidRPr="00243C3A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243C3A" w:rsidRPr="00243C3A" w:rsidRDefault="00433081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PERIÓDICO </w:t>
            </w:r>
            <w:r w:rsidR="00243C3A" w:rsidRPr="00243C3A">
              <w:rPr>
                <w:rFonts w:ascii="Arial" w:hAnsi="Arial" w:cs="Arial"/>
                <w:sz w:val="22"/>
                <w:szCs w:val="22"/>
              </w:rPr>
              <w:t>AMBITO JURIDICO. (2014) Editorial Legis.</w:t>
            </w:r>
          </w:p>
          <w:p w:rsidR="00243C3A" w:rsidRPr="007F40E6" w:rsidRDefault="00243C3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F774BC" w:rsidRDefault="009D3B04" w:rsidP="00CC21F3">
            <w:pPr>
              <w:rPr>
                <w:rFonts w:ascii="Arial" w:hAnsi="Arial" w:cs="Arial"/>
                <w:b/>
              </w:rPr>
            </w:pPr>
            <w:r w:rsidRPr="00F774BC">
              <w:rPr>
                <w:rFonts w:ascii="Arial" w:hAnsi="Arial" w:cs="Arial"/>
                <w:b/>
              </w:rPr>
              <w:lastRenderedPageBreak/>
              <w:t xml:space="preserve">MEDIOS Y RECURSOS </w:t>
            </w:r>
          </w:p>
          <w:p w:rsidR="00F774BC" w:rsidRPr="00F774BC" w:rsidRDefault="00F774BC" w:rsidP="00CC21F3">
            <w:pPr>
              <w:rPr>
                <w:rFonts w:ascii="Arial" w:hAnsi="Arial" w:cs="Arial"/>
                <w:b/>
              </w:rPr>
            </w:pPr>
          </w:p>
          <w:p w:rsidR="00F774BC" w:rsidRPr="00F774BC" w:rsidRDefault="00F774BC" w:rsidP="00F774BC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F774BC">
              <w:rPr>
                <w:rFonts w:ascii="Arial" w:hAnsi="Arial" w:cs="Arial"/>
                <w:sz w:val="24"/>
                <w:szCs w:val="24"/>
              </w:rPr>
              <w:t>Utilización de Salas TIC.</w:t>
            </w:r>
          </w:p>
          <w:p w:rsidR="00F774BC" w:rsidRPr="00F774BC" w:rsidRDefault="00F774BC" w:rsidP="00F774BC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F774BC">
              <w:rPr>
                <w:rFonts w:ascii="Arial" w:hAnsi="Arial" w:cs="Arial"/>
                <w:sz w:val="24"/>
                <w:szCs w:val="24"/>
              </w:rPr>
              <w:t>Uso de la Plataforma virtual</w:t>
            </w:r>
          </w:p>
          <w:p w:rsidR="00F774BC" w:rsidRPr="00F774BC" w:rsidRDefault="00F774BC" w:rsidP="00F774BC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F774BC">
              <w:rPr>
                <w:rFonts w:ascii="Arial" w:hAnsi="Arial" w:cs="Arial"/>
                <w:sz w:val="24"/>
                <w:szCs w:val="24"/>
              </w:rPr>
              <w:t>Uso del correo electrónico para aclarar dudas</w:t>
            </w:r>
          </w:p>
          <w:p w:rsidR="00F774BC" w:rsidRPr="00F774BC" w:rsidRDefault="00F774BC" w:rsidP="00CC21F3">
            <w:pPr>
              <w:rPr>
                <w:rFonts w:ascii="Arial" w:hAnsi="Arial" w:cs="Arial"/>
                <w:lang w:val="es-AR"/>
              </w:rPr>
            </w:pPr>
            <w:r w:rsidRPr="00F774BC">
              <w:rPr>
                <w:rFonts w:ascii="Arial" w:hAnsi="Arial" w:cs="Arial"/>
                <w:lang w:val="es-AR"/>
              </w:rPr>
              <w:t>Lectura de Jurisprudencia de las Cortes.</w:t>
            </w:r>
          </w:p>
          <w:p w:rsidR="009D3B04" w:rsidRPr="00F774BC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F774BC" w:rsidRDefault="00F774B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774BC" w:rsidRPr="00447FAD" w:rsidRDefault="00F774BC" w:rsidP="00CC21F3">
            <w:pPr>
              <w:rPr>
                <w:rFonts w:ascii="Arial" w:hAnsi="Arial" w:cs="Arial"/>
              </w:rPr>
            </w:pPr>
            <w:r w:rsidRPr="00447FAD">
              <w:rPr>
                <w:rFonts w:ascii="Arial" w:hAnsi="Arial" w:cs="Arial"/>
              </w:rPr>
              <w:t>Aula virtual con material de apoyo.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F774BC" w:rsidRDefault="00F774B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774BC" w:rsidRPr="00447FAD" w:rsidRDefault="00F774BC" w:rsidP="00CC21F3">
            <w:pPr>
              <w:rPr>
                <w:rFonts w:ascii="Arial" w:hAnsi="Arial" w:cs="Arial"/>
              </w:rPr>
            </w:pPr>
            <w:r w:rsidRPr="00447FAD">
              <w:rPr>
                <w:rFonts w:ascii="Arial" w:hAnsi="Arial" w:cs="Arial"/>
              </w:rPr>
              <w:t xml:space="preserve">Computadores, Televisores, Calculadoras. Códigos.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5E1" w:rsidRDefault="00EE75E1">
      <w:r>
        <w:separator/>
      </w:r>
    </w:p>
  </w:endnote>
  <w:endnote w:type="continuationSeparator" w:id="0">
    <w:p w:rsidR="00EE75E1" w:rsidRDefault="00EE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EE75E1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EE75E1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AF65A9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AF65A9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5E1" w:rsidRDefault="00EE75E1">
      <w:r>
        <w:separator/>
      </w:r>
    </w:p>
  </w:footnote>
  <w:footnote w:type="continuationSeparator" w:id="0">
    <w:p w:rsidR="00EE75E1" w:rsidRDefault="00EE7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E75E1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452C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452C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452C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452C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E75E1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1BF5589"/>
    <w:multiLevelType w:val="hybridMultilevel"/>
    <w:tmpl w:val="40182F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C05275"/>
    <w:multiLevelType w:val="hybridMultilevel"/>
    <w:tmpl w:val="30D83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97AA7"/>
    <w:multiLevelType w:val="hybridMultilevel"/>
    <w:tmpl w:val="6AB8AF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056259"/>
    <w:multiLevelType w:val="hybridMultilevel"/>
    <w:tmpl w:val="89DEB3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32"/>
  </w:num>
  <w:num w:numId="4">
    <w:abstractNumId w:val="43"/>
  </w:num>
  <w:num w:numId="5">
    <w:abstractNumId w:val="36"/>
  </w:num>
  <w:num w:numId="6">
    <w:abstractNumId w:val="24"/>
  </w:num>
  <w:num w:numId="7">
    <w:abstractNumId w:val="40"/>
  </w:num>
  <w:num w:numId="8">
    <w:abstractNumId w:val="29"/>
  </w:num>
  <w:num w:numId="9">
    <w:abstractNumId w:val="4"/>
  </w:num>
  <w:num w:numId="10">
    <w:abstractNumId w:val="28"/>
  </w:num>
  <w:num w:numId="11">
    <w:abstractNumId w:val="13"/>
  </w:num>
  <w:num w:numId="12">
    <w:abstractNumId w:val="7"/>
  </w:num>
  <w:num w:numId="13">
    <w:abstractNumId w:val="41"/>
  </w:num>
  <w:num w:numId="14">
    <w:abstractNumId w:val="31"/>
  </w:num>
  <w:num w:numId="15">
    <w:abstractNumId w:val="5"/>
  </w:num>
  <w:num w:numId="16">
    <w:abstractNumId w:val="26"/>
  </w:num>
  <w:num w:numId="17">
    <w:abstractNumId w:val="23"/>
  </w:num>
  <w:num w:numId="18">
    <w:abstractNumId w:val="42"/>
  </w:num>
  <w:num w:numId="19">
    <w:abstractNumId w:val="38"/>
  </w:num>
  <w:num w:numId="20">
    <w:abstractNumId w:val="22"/>
  </w:num>
  <w:num w:numId="21">
    <w:abstractNumId w:val="37"/>
  </w:num>
  <w:num w:numId="22">
    <w:abstractNumId w:val="6"/>
  </w:num>
  <w:num w:numId="23">
    <w:abstractNumId w:val="21"/>
  </w:num>
  <w:num w:numId="24">
    <w:abstractNumId w:val="25"/>
  </w:num>
  <w:num w:numId="25">
    <w:abstractNumId w:val="20"/>
  </w:num>
  <w:num w:numId="26">
    <w:abstractNumId w:val="27"/>
  </w:num>
  <w:num w:numId="27">
    <w:abstractNumId w:val="1"/>
  </w:num>
  <w:num w:numId="28">
    <w:abstractNumId w:val="2"/>
  </w:num>
  <w:num w:numId="29">
    <w:abstractNumId w:val="11"/>
  </w:num>
  <w:num w:numId="30">
    <w:abstractNumId w:val="3"/>
  </w:num>
  <w:num w:numId="31">
    <w:abstractNumId w:val="34"/>
  </w:num>
  <w:num w:numId="32">
    <w:abstractNumId w:val="33"/>
  </w:num>
  <w:num w:numId="33">
    <w:abstractNumId w:val="15"/>
  </w:num>
  <w:num w:numId="34">
    <w:abstractNumId w:val="16"/>
  </w:num>
  <w:num w:numId="35">
    <w:abstractNumId w:val="0"/>
  </w:num>
  <w:num w:numId="36">
    <w:abstractNumId w:val="39"/>
  </w:num>
  <w:num w:numId="37">
    <w:abstractNumId w:val="17"/>
  </w:num>
  <w:num w:numId="38">
    <w:abstractNumId w:val="8"/>
  </w:num>
  <w:num w:numId="39">
    <w:abstractNumId w:val="12"/>
  </w:num>
  <w:num w:numId="40">
    <w:abstractNumId w:val="19"/>
  </w:num>
  <w:num w:numId="41">
    <w:abstractNumId w:val="14"/>
  </w:num>
  <w:num w:numId="42">
    <w:abstractNumId w:val="30"/>
  </w:num>
  <w:num w:numId="43">
    <w:abstractNumId w:val="9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171E6"/>
    <w:rsid w:val="00017C24"/>
    <w:rsid w:val="00031A69"/>
    <w:rsid w:val="000422E2"/>
    <w:rsid w:val="0006734D"/>
    <w:rsid w:val="0008130A"/>
    <w:rsid w:val="000D75E7"/>
    <w:rsid w:val="000E7E34"/>
    <w:rsid w:val="001045BF"/>
    <w:rsid w:val="001048CE"/>
    <w:rsid w:val="001904DF"/>
    <w:rsid w:val="00236726"/>
    <w:rsid w:val="00243C3A"/>
    <w:rsid w:val="00244DD7"/>
    <w:rsid w:val="002C3D8F"/>
    <w:rsid w:val="002E18B0"/>
    <w:rsid w:val="00365280"/>
    <w:rsid w:val="00373F2F"/>
    <w:rsid w:val="00380AD8"/>
    <w:rsid w:val="00385571"/>
    <w:rsid w:val="00394808"/>
    <w:rsid w:val="00396ACF"/>
    <w:rsid w:val="003B1369"/>
    <w:rsid w:val="003D26AA"/>
    <w:rsid w:val="003E0189"/>
    <w:rsid w:val="00407211"/>
    <w:rsid w:val="00433081"/>
    <w:rsid w:val="00435527"/>
    <w:rsid w:val="00447FAD"/>
    <w:rsid w:val="004F521A"/>
    <w:rsid w:val="005275A5"/>
    <w:rsid w:val="005307D9"/>
    <w:rsid w:val="00536475"/>
    <w:rsid w:val="005452C7"/>
    <w:rsid w:val="005540E7"/>
    <w:rsid w:val="00623E53"/>
    <w:rsid w:val="00631163"/>
    <w:rsid w:val="00632BC7"/>
    <w:rsid w:val="00681748"/>
    <w:rsid w:val="006817AD"/>
    <w:rsid w:val="00716EB4"/>
    <w:rsid w:val="00792EFC"/>
    <w:rsid w:val="007A7FB6"/>
    <w:rsid w:val="007B7482"/>
    <w:rsid w:val="007C556C"/>
    <w:rsid w:val="007D2DFD"/>
    <w:rsid w:val="007E197F"/>
    <w:rsid w:val="007E5C4B"/>
    <w:rsid w:val="00834938"/>
    <w:rsid w:val="008627BA"/>
    <w:rsid w:val="00866443"/>
    <w:rsid w:val="008A7BA4"/>
    <w:rsid w:val="00960044"/>
    <w:rsid w:val="009D3B04"/>
    <w:rsid w:val="009F165C"/>
    <w:rsid w:val="00A0083B"/>
    <w:rsid w:val="00A22871"/>
    <w:rsid w:val="00A474B2"/>
    <w:rsid w:val="00A65130"/>
    <w:rsid w:val="00A728D1"/>
    <w:rsid w:val="00A73A7E"/>
    <w:rsid w:val="00AF082B"/>
    <w:rsid w:val="00AF65A9"/>
    <w:rsid w:val="00B3659A"/>
    <w:rsid w:val="00B47A48"/>
    <w:rsid w:val="00B62C3F"/>
    <w:rsid w:val="00BF0C97"/>
    <w:rsid w:val="00BF5ACC"/>
    <w:rsid w:val="00CC116E"/>
    <w:rsid w:val="00CD6BED"/>
    <w:rsid w:val="00D15C96"/>
    <w:rsid w:val="00D40E14"/>
    <w:rsid w:val="00D97B5F"/>
    <w:rsid w:val="00E051FC"/>
    <w:rsid w:val="00E43501"/>
    <w:rsid w:val="00E50269"/>
    <w:rsid w:val="00E615DC"/>
    <w:rsid w:val="00EA286B"/>
    <w:rsid w:val="00EB1DA1"/>
    <w:rsid w:val="00ED51CE"/>
    <w:rsid w:val="00EE75E1"/>
    <w:rsid w:val="00F06821"/>
    <w:rsid w:val="00F26635"/>
    <w:rsid w:val="00F426AD"/>
    <w:rsid w:val="00F7042E"/>
    <w:rsid w:val="00F774BC"/>
    <w:rsid w:val="00FA1F96"/>
    <w:rsid w:val="00FC10AD"/>
    <w:rsid w:val="00FD0300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36D35-02B9-4403-A8F7-1377218E9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1474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2</cp:revision>
  <dcterms:created xsi:type="dcterms:W3CDTF">2015-11-11T19:16:00Z</dcterms:created>
  <dcterms:modified xsi:type="dcterms:W3CDTF">2015-11-11T19:16:00Z</dcterms:modified>
</cp:coreProperties>
</file>